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4E2" w:rsidRPr="002724E2" w:rsidRDefault="002724E2" w:rsidP="002724E2">
      <w:pPr>
        <w:pStyle w:val="a5"/>
        <w:rPr>
          <w:b/>
          <w:bCs/>
        </w:rPr>
      </w:pPr>
      <w:r w:rsidRPr="002724E2">
        <w:rPr>
          <w:b/>
          <w:bCs/>
        </w:rPr>
        <w:t>Резюме</w:t>
      </w:r>
      <w:bookmarkStart w:id="0" w:name="_GoBack"/>
      <w:bookmarkEnd w:id="0"/>
    </w:p>
    <w:p w:rsidR="002724E2" w:rsidRDefault="002724E2" w:rsidP="002724E2">
      <w:pPr>
        <w:pStyle w:val="a5"/>
      </w:pPr>
      <w:r w:rsidRPr="002724E2">
        <w:rPr>
          <w:b/>
          <w:bCs/>
        </w:rPr>
        <w:t>Цель</w:t>
      </w:r>
    </w:p>
    <w:p w:rsidR="002724E2" w:rsidRDefault="002724E2" w:rsidP="002724E2">
      <w:pPr>
        <w:pStyle w:val="a5"/>
      </w:pPr>
      <w:r>
        <w:t>Оценить влияние омега-3 полиненасыщенных жирных кислот на аритмическую активность миокарда и показатели вариабельности сердечного ритма у больных с нестабильной стенокардией.</w:t>
      </w:r>
    </w:p>
    <w:p w:rsidR="002724E2" w:rsidRPr="002724E2" w:rsidRDefault="002724E2" w:rsidP="002724E2">
      <w:pPr>
        <w:pStyle w:val="a5"/>
        <w:rPr>
          <w:b/>
          <w:bCs/>
        </w:rPr>
      </w:pPr>
      <w:r w:rsidRPr="002724E2">
        <w:rPr>
          <w:b/>
          <w:bCs/>
        </w:rPr>
        <w:t>Материал и методы</w:t>
      </w:r>
    </w:p>
    <w:p w:rsidR="0066750D" w:rsidRDefault="002724E2" w:rsidP="002724E2">
      <w:pPr>
        <w:pStyle w:val="a5"/>
      </w:pPr>
      <w:r>
        <w:t xml:space="preserve">Проведено открытое, рандомизированное исследование 41 пациента в возрасте 45—70 лет, с диагнозомИБС: нестабильная стенокардия. Всем больным проводилась стандартная комплексная терапия. Пациентыбыли разделены на две группы: в первой–основной группе комплексная терапия с первых суток дополнялась препаратом омега-3-ПНЖК 1 г/сут. В контрольной группе проводилась только стандартная терапия. На3 и на 14 сутки лечения, пациентам производилось холтеровское мониторирование ЭКГ с оценкой желудочковой и наджелудочковой экстрасистолической </w:t>
      </w:r>
      <w:proofErr w:type="gramStart"/>
      <w:r>
        <w:t>активности</w:t>
      </w:r>
      <w:proofErr w:type="gramEnd"/>
      <w:r>
        <w:t xml:space="preserve"> а также основных показателей вариабельностисердечного ритма.</w:t>
      </w:r>
    </w:p>
    <w:p w:rsidR="002724E2" w:rsidRPr="002724E2" w:rsidRDefault="002724E2" w:rsidP="002724E2">
      <w:pPr>
        <w:pStyle w:val="a5"/>
        <w:rPr>
          <w:b/>
          <w:bCs/>
        </w:rPr>
      </w:pPr>
      <w:r w:rsidRPr="002724E2">
        <w:rPr>
          <w:b/>
          <w:bCs/>
        </w:rPr>
        <w:t>Результаты</w:t>
      </w:r>
    </w:p>
    <w:p w:rsidR="002724E2" w:rsidRDefault="002724E2" w:rsidP="002724E2">
      <w:pPr>
        <w:pStyle w:val="a5"/>
      </w:pPr>
      <w:r>
        <w:t>При оценке наджелудочковой экстрасистолической активности за сутки отмечено достоверное снижение ко-личества экстрасистол как в основной, так и в контрольной группах, (понижение с 40,5 (21,8–122,5) до 29,5(6—68,3) в основной группе, при p&lt;0,01; также понижение с 7,5 (3,8–56,3) до 10 (0—18) в контрольной группепри p&lt;0,05). Различия между группами статистически значимы (</w:t>
      </w:r>
      <w:proofErr w:type="gramStart"/>
      <w:r>
        <w:t>p&lt;</w:t>
      </w:r>
      <w:proofErr w:type="gramEnd"/>
      <w:r>
        <w:t xml:space="preserve">0,05). Количество желудочковых экстраси-стол достоверно изменилось только в основной группе с 7,5 (1,8–31,8) до 1 (0–18,8) при </w:t>
      </w:r>
      <w:proofErr w:type="gramStart"/>
      <w:r>
        <w:t>p&lt;</w:t>
      </w:r>
      <w:proofErr w:type="gramEnd"/>
      <w:r>
        <w:t>0,05. При сравнениипараметров ВСР выявлено достоверное повышение показателей SDNN (на 38, 28,7% соответственно в ос-новной и контрольной группах, при p&lt;0,01), HF в обеих группах (p&lt;0,05), pNN50 и VLF в основной группе на41,4% и 21,5% соответственно (p&lt;0,01, p&lt;0,05).</w:t>
      </w:r>
    </w:p>
    <w:p w:rsidR="002724E2" w:rsidRPr="002724E2" w:rsidRDefault="002724E2" w:rsidP="002724E2">
      <w:pPr>
        <w:pStyle w:val="a5"/>
        <w:rPr>
          <w:b/>
          <w:bCs/>
        </w:rPr>
      </w:pPr>
      <w:r w:rsidRPr="002724E2">
        <w:rPr>
          <w:b/>
          <w:bCs/>
        </w:rPr>
        <w:t>Заключение</w:t>
      </w:r>
    </w:p>
    <w:p w:rsidR="002724E2" w:rsidRDefault="002724E2" w:rsidP="002724E2">
      <w:pPr>
        <w:pStyle w:val="a5"/>
      </w:pPr>
      <w:r>
        <w:t>Включение препарата омега-3-ПНЖК (1 г/сут) в комплексную терапию пациентов с нестабильной стенокардией приводит к снижению желудочковой аритмической активности и повышает общий резерв нейрогуморальной регуляции.</w:t>
      </w:r>
    </w:p>
    <w:p w:rsidR="002724E2" w:rsidRPr="002724E2" w:rsidRDefault="002724E2" w:rsidP="002724E2">
      <w:pPr>
        <w:pStyle w:val="a5"/>
        <w:rPr>
          <w:b/>
          <w:bCs/>
        </w:rPr>
      </w:pPr>
      <w:r w:rsidRPr="002724E2">
        <w:rPr>
          <w:b/>
          <w:bCs/>
        </w:rPr>
        <w:t>Ключевые слова</w:t>
      </w:r>
    </w:p>
    <w:p w:rsidR="002724E2" w:rsidRPr="002724E2" w:rsidRDefault="002724E2" w:rsidP="002724E2">
      <w:pPr>
        <w:pStyle w:val="a5"/>
      </w:pPr>
      <w:r>
        <w:t>Омега-3-полиненасыщенные жирные кислоты, нестабильная стенокардия, аритмическая активность, вариабельность сердечного ритма.</w:t>
      </w:r>
    </w:p>
    <w:sectPr w:rsidR="002724E2" w:rsidRPr="0027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0D"/>
    <w:rsid w:val="002724E2"/>
    <w:rsid w:val="0066750D"/>
    <w:rsid w:val="008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4EA8C"/>
  <w15:chartTrackingRefBased/>
  <w15:docId w15:val="{A216953F-36D3-4ADD-A76A-448E8C51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50D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</w:rPr>
  </w:style>
  <w:style w:type="paragraph" w:styleId="2">
    <w:name w:val="heading 2"/>
    <w:basedOn w:val="a"/>
    <w:next w:val="a"/>
    <w:link w:val="20"/>
    <w:uiPriority w:val="9"/>
    <w:unhideWhenUsed/>
    <w:qFormat/>
    <w:rsid w:val="00667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750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675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Subtle Emphasis"/>
    <w:basedOn w:val="a0"/>
    <w:uiPriority w:val="19"/>
    <w:qFormat/>
    <w:rsid w:val="0066750D"/>
    <w:rPr>
      <w:i/>
      <w:iCs/>
      <w:color w:val="404040" w:themeColor="text1" w:themeTint="BF"/>
    </w:rPr>
  </w:style>
  <w:style w:type="paragraph" w:styleId="a5">
    <w:name w:val="Subtitle"/>
    <w:basedOn w:val="a"/>
    <w:next w:val="a"/>
    <w:link w:val="a6"/>
    <w:uiPriority w:val="11"/>
    <w:qFormat/>
    <w:rsid w:val="002724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724E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2020-04-08T09:44:00Z</dcterms:created>
  <dcterms:modified xsi:type="dcterms:W3CDTF">2020-04-08T09:44:00Z</dcterms:modified>
</cp:coreProperties>
</file>